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Board Meeting Agenda</w:t>
      </w:r>
    </w:p>
    <w:p>
      <w:pPr>
        <w:spacing w:after="160"/>
      </w:pPr>
      <w:r>
        <w:rPr>
          <w:rFonts w:ascii="Calibri" w:cs="Calibri" w:eastAsia="Calibri" w:hAnsi="Calibri"/>
          <w:i/>
          <w:iCs/>
          <w:color w:val="2A2A2A"/>
          <w:sz w:val="22"/>
          <w:szCs w:val="22"/>
        </w:rPr>
        <w:t xml:space="preserve">Corella Care Ltd</w:t>
      </w:r>
    </w:p>
    <w:p>
      <w:pPr>
        <w:spacing w:after="320"/>
      </w:pPr>
      <w:r>
        <w:rPr>
          <w:rFonts w:ascii="Calibri" w:cs="Calibri" w:eastAsia="Calibri" w:hAnsi="Calibri"/>
          <w:color w:val="666666"/>
          <w:sz w:val="18"/>
          <w:szCs w:val="18"/>
        </w:rPr>
        <w:t xml:space="preserve">Thursday 30 October 2025, 5:30pm to 7:45pm, Boardroom, Corella Gardens, Fernvale</w:t>
      </w:r>
    </w:p>
    <w:p>
      <w:pPr>
        <w:spacing w:after="160"/>
      </w:pPr>
      <w:r>
        <w:rPr>
          <w:rFonts w:ascii="Calibri" w:cs="Calibri" w:eastAsia="Calibri" w:hAnsi="Calibri"/>
          <w:b w:val="false"/>
          <w:bCs w:val="false"/>
          <w:i/>
          <w:iCs/>
          <w:color w:val="2A2A2A"/>
          <w:sz w:val="21"/>
          <w:szCs w:val="21"/>
        </w:rPr>
        <w:t xml:space="preserve">Circulated to all directors and the Company Secretary five business days in advance, in accordance with the Board Charter. Board papers for Items 3, 4 and 5 are attached following this agenda.</w:t>
      </w:r>
    </w:p>
    <w:p>
      <w:pPr>
        <w:spacing w:after="120"/>
      </w:pP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700"/>
        <w:gridCol w:w="3600"/>
        <w:gridCol w:w="1500"/>
        <w:gridCol w:w="1700"/>
        <w:gridCol w:w="1700"/>
      </w:tblGrid>
      <w:tr>
        <w:trPr>
          <w:tblHeader/>
        </w:trPr>
        <w:tc>
          <w:tcPr>
            <w:tcW w:type="dxa" w:w="700"/>
            <w:shd w:fill="1F4E3D" w:val="clear"/>
            <w:tcMar>
              <w:top w:type="dxa" w:w="100"/>
              <w:left w:type="dxa" w:w="120"/>
              <w:bottom w:type="dxa" w:w="100"/>
              <w:right w:type="dxa" w:w="120"/>
            </w:tcMar>
            <w:vAlign w:val="center"/>
          </w:tcPr>
          <w:p>
            <w:r>
              <w:rPr>
                <w:rFonts w:ascii="Calibri" w:cs="Calibri" w:eastAsia="Calibri" w:hAnsi="Calibri"/>
                <w:b/>
                <w:bCs/>
                <w:color w:val="FFFFFF"/>
                <w:sz w:val="17"/>
                <w:szCs w:val="17"/>
              </w:rPr>
              <w:t xml:space="preserve">Item</w:t>
            </w:r>
          </w:p>
        </w:tc>
        <w:tc>
          <w:tcPr>
            <w:tcW w:type="dxa" w:w="3600"/>
            <w:shd w:fill="1F4E3D" w:val="clear"/>
            <w:tcMar>
              <w:top w:type="dxa" w:w="100"/>
              <w:left w:type="dxa" w:w="120"/>
              <w:bottom w:type="dxa" w:w="100"/>
              <w:right w:type="dxa" w:w="120"/>
            </w:tcMar>
            <w:vAlign w:val="center"/>
          </w:tcPr>
          <w:p>
            <w:r>
              <w:rPr>
                <w:rFonts w:ascii="Calibri" w:cs="Calibri" w:eastAsia="Calibri" w:hAnsi="Calibri"/>
                <w:b/>
                <w:bCs/>
                <w:color w:val="FFFFFF"/>
                <w:sz w:val="17"/>
                <w:szCs w:val="17"/>
              </w:rPr>
              <w:t xml:space="preserve">Agenda Topic</w:t>
            </w:r>
          </w:p>
        </w:tc>
        <w:tc>
          <w:tcPr>
            <w:tcW w:type="dxa" w:w="1500"/>
            <w:shd w:fill="1F4E3D" w:val="clear"/>
            <w:tcMar>
              <w:top w:type="dxa" w:w="100"/>
              <w:left w:type="dxa" w:w="120"/>
              <w:bottom w:type="dxa" w:w="100"/>
              <w:right w:type="dxa" w:w="120"/>
            </w:tcMar>
            <w:vAlign w:val="center"/>
          </w:tcPr>
          <w:p>
            <w:r>
              <w:rPr>
                <w:rFonts w:ascii="Calibri" w:cs="Calibri" w:eastAsia="Calibri" w:hAnsi="Calibri"/>
                <w:b/>
                <w:bCs/>
                <w:color w:val="FFFFFF"/>
                <w:sz w:val="17"/>
                <w:szCs w:val="17"/>
              </w:rPr>
              <w:t xml:space="preserve">Type</w:t>
            </w:r>
          </w:p>
        </w:tc>
        <w:tc>
          <w:tcPr>
            <w:tcW w:type="dxa" w:w="1700"/>
            <w:shd w:fill="1F4E3D" w:val="clear"/>
            <w:tcMar>
              <w:top w:type="dxa" w:w="100"/>
              <w:left w:type="dxa" w:w="120"/>
              <w:bottom w:type="dxa" w:w="100"/>
              <w:right w:type="dxa" w:w="120"/>
            </w:tcMar>
            <w:vAlign w:val="center"/>
          </w:tcPr>
          <w:p>
            <w:r>
              <w:rPr>
                <w:rFonts w:ascii="Calibri" w:cs="Calibri" w:eastAsia="Calibri" w:hAnsi="Calibri"/>
                <w:b/>
                <w:bCs/>
                <w:color w:val="FFFFFF"/>
                <w:sz w:val="17"/>
                <w:szCs w:val="17"/>
              </w:rPr>
              <w:t xml:space="preserve">Presenter</w:t>
            </w:r>
          </w:p>
        </w:tc>
        <w:tc>
          <w:tcPr>
            <w:tcW w:type="dxa" w:w="1700"/>
            <w:shd w:fill="1F4E3D" w:val="clear"/>
            <w:tcMar>
              <w:top w:type="dxa" w:w="100"/>
              <w:left w:type="dxa" w:w="120"/>
              <w:bottom w:type="dxa" w:w="100"/>
              <w:right w:type="dxa" w:w="120"/>
            </w:tcMar>
            <w:vAlign w:val="center"/>
          </w:tcPr>
          <w:p>
            <w:r>
              <w:rPr>
                <w:rFonts w:ascii="Calibri" w:cs="Calibri" w:eastAsia="Calibri" w:hAnsi="Calibri"/>
                <w:b/>
                <w:bCs/>
                <w:color w:val="FFFFFF"/>
                <w:sz w:val="17"/>
                <w:szCs w:val="17"/>
              </w:rPr>
              <w:t xml:space="preserve">Time</w:t>
            </w:r>
          </w:p>
        </w:tc>
      </w:tr>
      <w:tr>
        <w:tc>
          <w:tcPr>
            <w:tcW w:type="dxa" w:w="9200"/>
            <w:gridSpan w:val="5"/>
            <w:shd w:fill="1F4E3D"/>
            <w:tcMar>
              <w:top w:type="dxa" w:w="80"/>
              <w:left w:type="dxa" w:w="120"/>
              <w:bottom w:type="dxa" w:w="80"/>
              <w:right w:type="dxa" w:w="120"/>
            </w:tcMar>
          </w:tcPr>
          <w:p>
            <w:r>
              <w:rPr>
                <w:rFonts w:ascii="Calibri" w:cs="Calibri" w:eastAsia="Calibri" w:hAnsi="Calibri"/>
                <w:b/>
                <w:bCs/>
                <w:color w:val="FFFFFF"/>
                <w:spacing w:val="10"/>
                <w:sz w:val="18"/>
                <w:szCs w:val="18"/>
              </w:rPr>
              <w:t xml:space="preserve">PROCEDURAL</w:t>
            </w:r>
          </w:p>
        </w:tc>
      </w:tr>
      <w:tr>
        <w:tc>
          <w:tcPr>
            <w:tcW w:type="dxa" w:w="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1</w:t>
            </w:r>
          </w:p>
        </w:tc>
        <w:tc>
          <w:tcPr>
            <w:tcW w:type="dxa" w:w="36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Welcome, quorum, apologies, conflicts of interest</w:t>
            </w:r>
          </w:p>
        </w:tc>
        <w:tc>
          <w:tcPr>
            <w:tcW w:type="dxa" w:w="15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Procedural</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Chair</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5:30pm–5:35pm</w:t>
            </w:r>
          </w:p>
        </w:tc>
      </w:tr>
      <w:tr>
        <w:tc>
          <w:tcPr>
            <w:tcW w:type="dxa" w:w="9200"/>
            <w:gridSpan w:val="5"/>
            <w:shd w:fill="1F4E3D"/>
            <w:tcMar>
              <w:top w:type="dxa" w:w="80"/>
              <w:left w:type="dxa" w:w="120"/>
              <w:bottom w:type="dxa" w:w="80"/>
              <w:right w:type="dxa" w:w="120"/>
            </w:tcMar>
          </w:tcPr>
          <w:p>
            <w:r>
              <w:rPr>
                <w:rFonts w:ascii="Calibri" w:cs="Calibri" w:eastAsia="Calibri" w:hAnsi="Calibri"/>
                <w:b/>
                <w:bCs/>
                <w:color w:val="FFFFFF"/>
                <w:spacing w:val="10"/>
                <w:sz w:val="18"/>
                <w:szCs w:val="18"/>
              </w:rPr>
              <w:t xml:space="preserve">GOVERNANCE</w:t>
            </w:r>
          </w:p>
        </w:tc>
      </w:tr>
      <w:tr>
        <w:tc>
          <w:tcPr>
            <w:tcW w:type="dxa" w:w="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2</w:t>
            </w:r>
          </w:p>
        </w:tc>
        <w:tc>
          <w:tcPr>
            <w:tcW w:type="dxa" w:w="36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Confirmation of minutes, 14 August 2025</w:t>
            </w:r>
          </w:p>
        </w:tc>
        <w:tc>
          <w:tcPr>
            <w:tcW w:type="dxa" w:w="15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Decision</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Chair</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5:35pm–5:40pm</w:t>
            </w:r>
          </w:p>
        </w:tc>
      </w:tr>
      <w:tr>
        <w:tc>
          <w:tcPr>
            <w:tcW w:type="dxa" w:w="9200"/>
            <w:gridSpan w:val="5"/>
            <w:shd w:fill="1F4E3D"/>
            <w:tcMar>
              <w:top w:type="dxa" w:w="80"/>
              <w:left w:type="dxa" w:w="120"/>
              <w:bottom w:type="dxa" w:w="80"/>
              <w:right w:type="dxa" w:w="120"/>
            </w:tcMar>
          </w:tcPr>
          <w:p>
            <w:r>
              <w:rPr>
                <w:rFonts w:ascii="Calibri" w:cs="Calibri" w:eastAsia="Calibri" w:hAnsi="Calibri"/>
                <w:b/>
                <w:bCs/>
                <w:color w:val="FFFFFF"/>
                <w:spacing w:val="10"/>
                <w:sz w:val="18"/>
                <w:szCs w:val="18"/>
              </w:rPr>
              <w:t xml:space="preserve">CEO AND FINANCE</w:t>
            </w:r>
          </w:p>
        </w:tc>
      </w:tr>
      <w:tr>
        <w:tc>
          <w:tcPr>
            <w:tcW w:type="dxa" w:w="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3</w:t>
            </w:r>
          </w:p>
        </w:tc>
        <w:tc>
          <w:tcPr>
            <w:tcW w:type="dxa" w:w="3600"/>
            <w:tcMar>
              <w:top w:type="dxa" w:w="90"/>
              <w:left w:type="dxa" w:w="120"/>
              <w:bottom w:type="dxa" w:w="90"/>
              <w:right w:type="dxa" w:w="120"/>
            </w:tcMar>
            <w:vAlign w:val="center"/>
          </w:tcPr>
          <w:p>
            <w:r>
              <w:rPr>
                <w:rFonts w:ascii="Calibri" w:cs="Calibri" w:eastAsia="Calibri" w:hAnsi="Calibri"/>
                <w:b/>
                <w:bCs/>
                <w:i w:val="false"/>
                <w:iCs w:val="false"/>
                <w:color w:val="2A2A2A"/>
                <w:sz w:val="18"/>
                <w:szCs w:val="18"/>
              </w:rPr>
              <w:t xml:space="preserve">Chief Executive Officer’s report</w:t>
            </w:r>
          </w:p>
        </w:tc>
        <w:tc>
          <w:tcPr>
            <w:tcW w:type="dxa" w:w="15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Discussion</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CEO</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5:40pm–6:00pm</w:t>
            </w:r>
          </w:p>
        </w:tc>
      </w:tr>
      <w:tr>
        <w:tc>
          <w:tcPr>
            <w:tcW w:type="dxa" w:w="700"/>
            <w:tcMar>
              <w:top w:type="dxa" w:w="70"/>
              <w:left w:type="dxa" w:w="120"/>
              <w:bottom w:type="dxa" w:w="70"/>
              <w:right w:type="dxa" w:w="120"/>
            </w:tcMar>
            <w:vAlign w:val="center"/>
          </w:tcPr>
          <w:p>
            <w:r>
              <w:rPr>
                <w:rFonts w:ascii="Calibri" w:cs="Calibri" w:eastAsia="Calibri" w:hAnsi="Calibri"/>
                <w:i/>
                <w:iCs/>
                <w:color w:val="666666"/>
                <w:sz w:val="17"/>
                <w:szCs w:val="17"/>
              </w:rPr>
              <w:t xml:space="preserve">3.1</w:t>
            </w:r>
          </w:p>
        </w:tc>
        <w:tc>
          <w:tcPr>
            <w:tcW w:type="dxa" w:w="8500"/>
            <w:gridSpan w:val="4"/>
            <w:tcMar>
              <w:top w:type="dxa" w:w="70"/>
              <w:left w:type="dxa" w:w="200"/>
              <w:bottom w:type="dxa" w:w="70"/>
              <w:right w:type="dxa" w:w="120"/>
            </w:tcMar>
            <w:vAlign w:val="center"/>
          </w:tcPr>
          <w:p>
            <w:r>
              <w:rPr>
                <w:rFonts w:ascii="Calibri" w:cs="Calibri" w:eastAsia="Calibri" w:hAnsi="Calibri"/>
                <w:i/>
                <w:iCs/>
                <w:color w:val="666666"/>
                <w:sz w:val="17"/>
                <w:szCs w:val="17"/>
              </w:rPr>
              <w:t xml:space="preserve">Occupancy, workforce and quality update</w:t>
            </w:r>
          </w:p>
        </w:tc>
      </w:tr>
      <w:tr>
        <w:tc>
          <w:tcPr>
            <w:tcW w:type="dxa" w:w="700"/>
            <w:shd w:fill="E9F2ED"/>
            <w:tcMar>
              <w:top w:type="dxa" w:w="70"/>
              <w:left w:type="dxa" w:w="120"/>
              <w:bottom w:type="dxa" w:w="70"/>
              <w:right w:type="dxa" w:w="120"/>
            </w:tcMar>
            <w:vAlign w:val="center"/>
          </w:tcPr>
          <w:p>
            <w:r>
              <w:rPr>
                <w:rFonts w:ascii="Calibri" w:cs="Calibri" w:eastAsia="Calibri" w:hAnsi="Calibri"/>
                <w:i/>
                <w:iCs/>
                <w:color w:val="666666"/>
                <w:sz w:val="17"/>
                <w:szCs w:val="17"/>
              </w:rPr>
              <w:t xml:space="preserve">3.2</w:t>
            </w:r>
          </w:p>
        </w:tc>
        <w:tc>
          <w:tcPr>
            <w:tcW w:type="dxa" w:w="8500"/>
            <w:gridSpan w:val="4"/>
            <w:shd w:fill="E9F2ED"/>
            <w:tcMar>
              <w:top w:type="dxa" w:w="70"/>
              <w:left w:type="dxa" w:w="200"/>
              <w:bottom w:type="dxa" w:w="70"/>
              <w:right w:type="dxa" w:w="120"/>
            </w:tcMar>
            <w:vAlign w:val="center"/>
          </w:tcPr>
          <w:p>
            <w:r>
              <w:rPr>
                <w:rFonts w:ascii="Calibri" w:cs="Calibri" w:eastAsia="Calibri" w:hAnsi="Calibri"/>
                <w:i/>
                <w:iCs/>
                <w:color w:val="666666"/>
                <w:sz w:val="17"/>
                <w:szCs w:val="17"/>
              </w:rPr>
              <w:t xml:space="preserve">Strategic Plan progress</w:t>
            </w:r>
          </w:p>
        </w:tc>
      </w:tr>
      <w:tr>
        <w:tc>
          <w:tcPr>
            <w:tcW w:type="dxa" w:w="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4</w:t>
            </w:r>
          </w:p>
        </w:tc>
        <w:tc>
          <w:tcPr>
            <w:tcW w:type="dxa" w:w="3600"/>
            <w:shd w:fill="E9F2ED"/>
            <w:tcMar>
              <w:top w:type="dxa" w:w="90"/>
              <w:left w:type="dxa" w:w="120"/>
              <w:bottom w:type="dxa" w:w="90"/>
              <w:right w:type="dxa" w:w="120"/>
            </w:tcMar>
            <w:vAlign w:val="center"/>
          </w:tcPr>
          <w:p>
            <w:r>
              <w:rPr>
                <w:rFonts w:ascii="Calibri" w:cs="Calibri" w:eastAsia="Calibri" w:hAnsi="Calibri"/>
                <w:b/>
                <w:bCs/>
                <w:i w:val="false"/>
                <w:iCs w:val="false"/>
                <w:color w:val="2A2A2A"/>
                <w:sz w:val="18"/>
                <w:szCs w:val="18"/>
              </w:rPr>
              <w:t xml:space="preserve">Finance report, Q1 FY26</w:t>
            </w:r>
          </w:p>
        </w:tc>
        <w:tc>
          <w:tcPr>
            <w:tcW w:type="dxa" w:w="15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Discussion</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CFO</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6:00pm–6:15pm</w:t>
            </w:r>
          </w:p>
        </w:tc>
      </w:tr>
      <w:tr>
        <w:tc>
          <w:tcPr>
            <w:tcW w:type="dxa" w:w="9200"/>
            <w:gridSpan w:val="5"/>
            <w:shd w:fill="1F4E3D"/>
            <w:tcMar>
              <w:top w:type="dxa" w:w="80"/>
              <w:left w:type="dxa" w:w="120"/>
              <w:bottom w:type="dxa" w:w="80"/>
              <w:right w:type="dxa" w:w="120"/>
            </w:tcMar>
          </w:tcPr>
          <w:p>
            <w:r>
              <w:rPr>
                <w:rFonts w:ascii="Calibri" w:cs="Calibri" w:eastAsia="Calibri" w:hAnsi="Calibri"/>
                <w:b/>
                <w:bCs/>
                <w:color w:val="FFFFFF"/>
                <w:spacing w:val="10"/>
                <w:sz w:val="18"/>
                <w:szCs w:val="18"/>
              </w:rPr>
              <w:t xml:space="preserve">CAPITAL AND RISK</w:t>
            </w:r>
          </w:p>
        </w:tc>
      </w:tr>
      <w:tr>
        <w:tc>
          <w:tcPr>
            <w:tcW w:type="dxa" w:w="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5</w:t>
            </w:r>
          </w:p>
        </w:tc>
        <w:tc>
          <w:tcPr>
            <w:tcW w:type="dxa" w:w="3600"/>
            <w:tcMar>
              <w:top w:type="dxa" w:w="90"/>
              <w:left w:type="dxa" w:w="120"/>
              <w:bottom w:type="dxa" w:w="90"/>
              <w:right w:type="dxa" w:w="120"/>
            </w:tcMar>
            <w:vAlign w:val="center"/>
          </w:tcPr>
          <w:p>
            <w:r>
              <w:rPr>
                <w:rFonts w:ascii="Calibri" w:cs="Calibri" w:eastAsia="Calibri" w:hAnsi="Calibri"/>
                <w:b/>
                <w:bCs/>
                <w:i w:val="false"/>
                <w:iCs w:val="false"/>
                <w:color w:val="2A2A2A"/>
                <w:sz w:val="18"/>
                <w:szCs w:val="18"/>
              </w:rPr>
              <w:t xml:space="preserve">Corella Heights Refurbishment, Stage 2 funding approval</w:t>
            </w:r>
          </w:p>
        </w:tc>
        <w:tc>
          <w:tcPr>
            <w:tcW w:type="dxa" w:w="15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Decision</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CEO</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6:15pm–6:30pm</w:t>
            </w:r>
          </w:p>
        </w:tc>
      </w:tr>
      <w:tr>
        <w:tc>
          <w:tcPr>
            <w:tcW w:type="dxa" w:w="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6</w:t>
            </w:r>
          </w:p>
        </w:tc>
        <w:tc>
          <w:tcPr>
            <w:tcW w:type="dxa" w:w="36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Quality &amp; Clinical Governance Committee report</w:t>
            </w:r>
          </w:p>
        </w:tc>
        <w:tc>
          <w:tcPr>
            <w:tcW w:type="dxa" w:w="15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Discussion</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Committee Chair</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6:30pm–6:40pm</w:t>
            </w:r>
          </w:p>
        </w:tc>
      </w:tr>
      <w:tr>
        <w:tc>
          <w:tcPr>
            <w:tcW w:type="dxa" w:w="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7</w:t>
            </w:r>
          </w:p>
        </w:tc>
        <w:tc>
          <w:tcPr>
            <w:tcW w:type="dxa" w:w="36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Finance, Audit &amp; Risk Committee report</w:t>
            </w:r>
          </w:p>
        </w:tc>
        <w:tc>
          <w:tcPr>
            <w:tcW w:type="dxa" w:w="15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Discussion</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Committee Chair</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6:40pm–6:50pm</w:t>
            </w:r>
          </w:p>
        </w:tc>
      </w:tr>
      <w:tr>
        <w:tc>
          <w:tcPr>
            <w:tcW w:type="dxa" w:w="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8</w:t>
            </w:r>
          </w:p>
        </w:tc>
        <w:tc>
          <w:tcPr>
            <w:tcW w:type="dxa" w:w="36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Risk Register update</w:t>
            </w:r>
          </w:p>
        </w:tc>
        <w:tc>
          <w:tcPr>
            <w:tcW w:type="dxa" w:w="15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Discussion</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Company Secretary</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6:50pm–7:00pm</w:t>
            </w:r>
          </w:p>
        </w:tc>
      </w:tr>
      <w:tr>
        <w:tc>
          <w:tcPr>
            <w:tcW w:type="dxa" w:w="9200"/>
            <w:gridSpan w:val="5"/>
            <w:shd w:fill="1F4E3D"/>
            <w:tcMar>
              <w:top w:type="dxa" w:w="80"/>
              <w:left w:type="dxa" w:w="120"/>
              <w:bottom w:type="dxa" w:w="80"/>
              <w:right w:type="dxa" w:w="120"/>
            </w:tcMar>
          </w:tcPr>
          <w:p>
            <w:r>
              <w:rPr>
                <w:rFonts w:ascii="Calibri" w:cs="Calibri" w:eastAsia="Calibri" w:hAnsi="Calibri"/>
                <w:b/>
                <w:bCs/>
                <w:color w:val="FFFFFF"/>
                <w:spacing w:val="10"/>
                <w:sz w:val="18"/>
                <w:szCs w:val="18"/>
              </w:rPr>
              <w:t xml:space="preserve">CLOSING</w:t>
            </w:r>
          </w:p>
        </w:tc>
      </w:tr>
      <w:tr>
        <w:tc>
          <w:tcPr>
            <w:tcW w:type="dxa" w:w="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9</w:t>
            </w:r>
          </w:p>
        </w:tc>
        <w:tc>
          <w:tcPr>
            <w:tcW w:type="dxa" w:w="36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General business</w:t>
            </w:r>
          </w:p>
        </w:tc>
        <w:tc>
          <w:tcPr>
            <w:tcW w:type="dxa" w:w="15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For Discussion</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Chair</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7:00pm–7:10pm</w:t>
            </w:r>
          </w:p>
        </w:tc>
      </w:tr>
      <w:tr>
        <w:tc>
          <w:tcPr>
            <w:tcW w:type="dxa" w:w="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10</w:t>
            </w:r>
          </w:p>
        </w:tc>
        <w:tc>
          <w:tcPr>
            <w:tcW w:type="dxa" w:w="36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Director Reflections (Closed Session)</w:t>
            </w:r>
          </w:p>
        </w:tc>
        <w:tc>
          <w:tcPr>
            <w:tcW w:type="dxa" w:w="15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Closed Session</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Chair</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7:10pm–7:30pm</w:t>
            </w:r>
          </w:p>
        </w:tc>
      </w:tr>
      <w:tr>
        <w:tc>
          <w:tcPr>
            <w:tcW w:type="dxa" w:w="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11</w:t>
            </w:r>
          </w:p>
        </w:tc>
        <w:tc>
          <w:tcPr>
            <w:tcW w:type="dxa" w:w="36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Confirm next meeting, 10 December 2025</w:t>
            </w:r>
          </w:p>
        </w:tc>
        <w:tc>
          <w:tcPr>
            <w:tcW w:type="dxa" w:w="15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Procedural</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Chair</w:t>
            </w:r>
          </w:p>
        </w:tc>
        <w:tc>
          <w:tcPr>
            <w:tcW w:type="dxa" w:w="1700"/>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7:30pm–7:35pm</w:t>
            </w:r>
          </w:p>
        </w:tc>
      </w:tr>
      <w:tr>
        <w:tc>
          <w:tcPr>
            <w:tcW w:type="dxa" w:w="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12</w:t>
            </w:r>
          </w:p>
        </w:tc>
        <w:tc>
          <w:tcPr>
            <w:tcW w:type="dxa" w:w="36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END MEETING</w:t>
            </w:r>
          </w:p>
        </w:tc>
        <w:tc>
          <w:tcPr>
            <w:tcW w:type="dxa" w:w="15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w:t>
            </w:r>
          </w:p>
        </w:tc>
        <w:tc>
          <w:tcPr>
            <w:tcW w:type="dxa" w:w="1700"/>
            <w:shd w:fill="E9F2ED"/>
            <w:tcMar>
              <w:top w:type="dxa" w:w="90"/>
              <w:left w:type="dxa" w:w="120"/>
              <w:bottom w:type="dxa" w:w="90"/>
              <w:right w:type="dxa" w:w="120"/>
            </w:tcMar>
            <w:vAlign w:val="center"/>
          </w:tcPr>
          <w:p>
            <w:r>
              <w:rPr>
                <w:rFonts w:ascii="Calibri" w:cs="Calibri" w:eastAsia="Calibri" w:hAnsi="Calibri"/>
                <w:b w:val="false"/>
                <w:bCs w:val="false"/>
                <w:i w:val="false"/>
                <w:iCs w:val="false"/>
                <w:color w:val="2A2A2A"/>
                <w:sz w:val="18"/>
                <w:szCs w:val="18"/>
              </w:rPr>
              <w:t xml:space="preserve">7:45pm</w:t>
            </w:r>
          </w:p>
        </w:tc>
      </w:tr>
    </w:tbl>
    <w:p>
      <w:pPr>
        <w:spacing w:after="160"/>
      </w:pPr>
    </w:p>
    <w:p>
      <w:pPr>
        <w:spacing w:after="160"/>
      </w:pPr>
      <w:r>
        <w:rPr>
          <w:rFonts w:ascii="Calibri" w:cs="Calibri" w:eastAsia="Calibri" w:hAnsi="Calibri"/>
          <w:b w:val="false"/>
          <w:bCs w:val="false"/>
          <w:i/>
          <w:iCs/>
          <w:color w:val="2A2A2A"/>
          <w:sz w:val="21"/>
          <w:szCs w:val="21"/>
        </w:rPr>
        <w:t xml:space="preserve">Closed Session: management is not present for Item 10. Directors may raise any matter they would prefer to discuss without management in the room.</w:t>
      </w:r>
    </w:p>
    <w:p>
      <w:r>
        <w:br w:type="page"/>
      </w:r>
    </w:p>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Agenda Item 3: Chief Executive Officer's Report</w:t>
      </w:r>
    </w:p>
    <w:p>
      <w:pPr>
        <w:spacing w:after="160"/>
      </w:pPr>
      <w:r>
        <w:rPr>
          <w:rFonts w:ascii="Calibri" w:cs="Calibri" w:eastAsia="Calibri" w:hAnsi="Calibri"/>
          <w:i/>
          <w:iCs/>
          <w:color w:val="2A2A2A"/>
          <w:sz w:val="22"/>
          <w:szCs w:val="22"/>
        </w:rPr>
        <w:t xml:space="preserve">For Discussion</w:t>
      </w:r>
    </w:p>
    <w:p>
      <w:pPr>
        <w:spacing w:after="320"/>
      </w:pPr>
      <w:r>
        <w:rPr>
          <w:rFonts w:ascii="Calibri" w:cs="Calibri" w:eastAsia="Calibri" w:hAnsi="Calibri"/>
          <w:color w:val="666666"/>
          <w:sz w:val="18"/>
          <w:szCs w:val="18"/>
        </w:rPr>
        <w:t xml:space="preserve">Prepared by Rebecca Hartley, Chief Executive Officer</w:t>
      </w:r>
    </w:p>
    <w:p>
      <w:pPr>
        <w:spacing w:after="100" w:before="200"/>
      </w:pPr>
      <w:r>
        <w:rPr>
          <w:rFonts w:ascii="Calibri" w:cs="Calibri" w:eastAsia="Calibri" w:hAnsi="Calibri"/>
          <w:b/>
          <w:bCs/>
          <w:color w:val="4A7C59"/>
          <w:sz w:val="22"/>
          <w:szCs w:val="22"/>
        </w:rPr>
        <w:t xml:space="preserve">Occupancy and Service Activity</w:t>
      </w:r>
    </w:p>
    <w:p>
      <w:pPr>
        <w:spacing w:after="160"/>
      </w:pPr>
      <w:r>
        <w:rPr>
          <w:rFonts w:ascii="Calibri" w:cs="Calibri" w:eastAsia="Calibri" w:hAnsi="Calibri"/>
          <w:b w:val="false"/>
          <w:bCs w:val="false"/>
          <w:i w:val="false"/>
          <w:iCs w:val="false"/>
          <w:color w:val="2A2A2A"/>
          <w:sz w:val="21"/>
          <w:szCs w:val="21"/>
        </w:rPr>
        <w:t xml:space="preserve">Corella Gardens occupancy averaged 97 per cent and Corella Heights 94 per cent over the quarter. Corella at Home supported 358 clients, up from 350 at the last report. Wattle Community Health Clinic delivered 1,240 allied health and nursing consultations.</w:t>
      </w:r>
    </w:p>
    <w:p>
      <w:pPr>
        <w:spacing w:after="100" w:before="200"/>
      </w:pPr>
      <w:r>
        <w:rPr>
          <w:rFonts w:ascii="Calibri" w:cs="Calibri" w:eastAsia="Calibri" w:hAnsi="Calibri"/>
          <w:b/>
          <w:bCs/>
          <w:color w:val="4A7C59"/>
          <w:sz w:val="22"/>
          <w:szCs w:val="22"/>
        </w:rPr>
        <w:t xml:space="preserve">Workforce</w:t>
      </w:r>
    </w:p>
    <w:p>
      <w:pPr>
        <w:spacing w:after="160"/>
      </w:pPr>
      <w:r>
        <w:rPr>
          <w:rFonts w:ascii="Calibri" w:cs="Calibri" w:eastAsia="Calibri" w:hAnsi="Calibri"/>
          <w:b w:val="false"/>
          <w:bCs w:val="false"/>
          <w:i w:val="false"/>
          <w:iCs w:val="false"/>
          <w:color w:val="2A2A2A"/>
          <w:sz w:val="21"/>
          <w:szCs w:val="21"/>
        </w:rPr>
        <w:t xml:space="preserve">Direct recruitment filled 6 of the 9 vacant care positions identified in August. Agency usage for the quarter reduced from 14 per cent to 11 per cent of total care hours, the first quarterly reduction since FY24. The People &amp; Culture Manager is finalising a revised retention program for consideration at the December meeting.</w:t>
      </w:r>
    </w:p>
    <w:p>
      <w:pPr>
        <w:spacing w:after="100" w:before="200"/>
      </w:pPr>
      <w:r>
        <w:rPr>
          <w:rFonts w:ascii="Calibri" w:cs="Calibri" w:eastAsia="Calibri" w:hAnsi="Calibri"/>
          <w:b/>
          <w:bCs/>
          <w:color w:val="4A7C59"/>
          <w:sz w:val="22"/>
          <w:szCs w:val="22"/>
        </w:rPr>
        <w:t xml:space="preserve">Quality and Safety</w:t>
      </w:r>
    </w:p>
    <w:p>
      <w:pPr>
        <w:spacing w:after="160"/>
      </w:pPr>
      <w:r>
        <w:rPr>
          <w:rFonts w:ascii="Calibri" w:cs="Calibri" w:eastAsia="Calibri" w:hAnsi="Calibri"/>
          <w:b w:val="false"/>
          <w:bCs w:val="false"/>
          <w:i w:val="false"/>
          <w:iCs w:val="false"/>
          <w:color w:val="2A2A2A"/>
          <w:sz w:val="21"/>
          <w:szCs w:val="21"/>
        </w:rPr>
        <w:t xml:space="preserve">No unresolved Aged Care Quality Standards non-compliance findings. One SIRS notification was made during the quarter relating to a medication incident at Corella Gardens, fully investigated with corrective actions implemented and reported to the Quality &amp; Clinical Governance Committee.</w:t>
      </w:r>
    </w:p>
    <w:p>
      <w:pPr>
        <w:spacing w:after="100" w:before="200"/>
      </w:pPr>
      <w:r>
        <w:rPr>
          <w:rFonts w:ascii="Calibri" w:cs="Calibri" w:eastAsia="Calibri" w:hAnsi="Calibri"/>
          <w:b/>
          <w:bCs/>
          <w:color w:val="4A7C59"/>
          <w:sz w:val="22"/>
          <w:szCs w:val="22"/>
        </w:rPr>
        <w:t xml:space="preserve">Strategic Plan Progress</w:t>
      </w:r>
    </w:p>
    <w:p>
      <w:pPr>
        <w:spacing w:after="160"/>
      </w:pPr>
      <w:r>
        <w:rPr>
          <w:rFonts w:ascii="Calibri" w:cs="Calibri" w:eastAsia="Calibri" w:hAnsi="Calibri"/>
          <w:b w:val="false"/>
          <w:bCs w:val="false"/>
          <w:i w:val="false"/>
          <w:iCs w:val="false"/>
          <w:color w:val="2A2A2A"/>
          <w:sz w:val="21"/>
          <w:szCs w:val="21"/>
        </w:rPr>
        <w:t xml:space="preserve">Progress against all five strategic pillars remains on track. Further detail is provided in the strategic scorecard circulated with this agenda.</w:t>
      </w:r>
    </w:p>
    <w:p>
      <w:r>
        <w:br w:type="page"/>
      </w:r>
    </w:p>
    <w:p>
      <w:pPr>
        <w:spacing w:after="60"/>
      </w:pPr>
      <w:r>
        <w:rPr>
          <w:rFonts w:ascii="Calibri" w:cs="Calibri" w:eastAsia="Calibri" w:hAnsi="Calibri"/>
          <w:b/>
          <w:bCs/>
          <w:color w:val="4A7C59"/>
          <w:spacing w:val="20"/>
          <w:sz w:val="18"/>
          <w:szCs w:val="18"/>
        </w:rPr>
        <w:t xml:space="preserve">CORELLA CARE LTD</w:t>
      </w:r>
    </w:p>
    <w:p>
      <w:pPr>
        <w:pBdr>
          <w:bottom w:val="single" w:color="1F4E3D" w:sz="12" w:space="8"/>
        </w:pBdr>
        <w:spacing w:after="200"/>
      </w:pPr>
      <w:r>
        <w:rPr>
          <w:rFonts w:ascii="Calibri" w:cs="Calibri" w:eastAsia="Calibri" w:hAnsi="Calibri"/>
          <w:b/>
          <w:bCs/>
          <w:color w:val="1F4E3D"/>
          <w:sz w:val="44"/>
          <w:szCs w:val="44"/>
        </w:rPr>
        <w:t xml:space="preserve">Agenda Item 5: Corella Heights Refurbishment, Stage 2 Funding Approval</w:t>
      </w:r>
    </w:p>
    <w:p>
      <w:pPr>
        <w:spacing w:after="160"/>
      </w:pPr>
      <w:r>
        <w:rPr>
          <w:rFonts w:ascii="Calibri" w:cs="Calibri" w:eastAsia="Calibri" w:hAnsi="Calibri"/>
          <w:i/>
          <w:iCs/>
          <w:color w:val="2A2A2A"/>
          <w:sz w:val="22"/>
          <w:szCs w:val="22"/>
        </w:rPr>
        <w:t xml:space="preserve">Paper for Decision</w:t>
      </w:r>
    </w:p>
    <w:p>
      <w:pPr>
        <w:spacing w:after="320"/>
      </w:pPr>
      <w:r>
        <w:rPr>
          <w:rFonts w:ascii="Calibri" w:cs="Calibri" w:eastAsia="Calibri" w:hAnsi="Calibri"/>
          <w:color w:val="666666"/>
          <w:sz w:val="18"/>
          <w:szCs w:val="18"/>
        </w:rPr>
        <w:t xml:space="preserve">Prepared by Rebecca Hartley, Chief Executive Officer and Anthony Braithwaite, Chief Financial Officer</w:t>
      </w:r>
    </w:p>
    <w:p>
      <w:pPr>
        <w:spacing w:after="100" w:before="200"/>
      </w:pPr>
      <w:r>
        <w:rPr>
          <w:rFonts w:ascii="Calibri" w:cs="Calibri" w:eastAsia="Calibri" w:hAnsi="Calibri"/>
          <w:b/>
          <w:bCs/>
          <w:color w:val="4A7C59"/>
          <w:sz w:val="22"/>
          <w:szCs w:val="22"/>
        </w:rPr>
        <w:t xml:space="preserve">Recommendation</w:t>
      </w:r>
    </w:p>
    <w:p>
      <w:pPr>
        <w:spacing w:after="160"/>
      </w:pPr>
      <w:r>
        <w:rPr>
          <w:rFonts w:ascii="Calibri" w:cs="Calibri" w:eastAsia="Calibri" w:hAnsi="Calibri"/>
          <w:b w:val="false"/>
          <w:bCs w:val="false"/>
          <w:i w:val="false"/>
          <w:iCs w:val="false"/>
          <w:color w:val="2A2A2A"/>
          <w:sz w:val="21"/>
          <w:szCs w:val="21"/>
        </w:rPr>
        <w:t xml:space="preserve">That the Board approve additional capital expenditure of $420,000 for Stage 2 of the Corella Heights refurbishment, comprising a $150,000 already secured state government capital grant and $270,000 from Corella Care's asset replacement reserve, noting this exceeds the CEO's delegated capital authority and requires Board approval under the Delegation of Authority Policy.</w:t>
      </w:r>
    </w:p>
    <w:p>
      <w:pPr>
        <w:spacing w:after="100" w:before="200"/>
      </w:pPr>
      <w:r>
        <w:rPr>
          <w:rFonts w:ascii="Calibri" w:cs="Calibri" w:eastAsia="Calibri" w:hAnsi="Calibri"/>
          <w:b/>
          <w:bCs/>
          <w:color w:val="4A7C59"/>
          <w:sz w:val="22"/>
          <w:szCs w:val="22"/>
        </w:rPr>
        <w:t xml:space="preserve">Background</w:t>
      </w:r>
    </w:p>
    <w:p>
      <w:pPr>
        <w:spacing w:after="160"/>
      </w:pPr>
      <w:r>
        <w:rPr>
          <w:rFonts w:ascii="Calibri" w:cs="Calibri" w:eastAsia="Calibri" w:hAnsi="Calibri"/>
          <w:b w:val="false"/>
          <w:bCs w:val="false"/>
          <w:i w:val="false"/>
          <w:iCs w:val="false"/>
          <w:color w:val="2A2A2A"/>
          <w:sz w:val="21"/>
          <w:szCs w:val="21"/>
        </w:rPr>
        <w:t xml:space="preserve">Stage 1 of the Corella Heights refurbishment, covering bathroom and common area upgrades, was completed in FY25 within its $3.6 million budget. The FY25 building condition audit identified two further priorities at Corella Heights: modernisation of the kitchen and dining area, and an upgrade to the fire safety detection and suppression system, which is approaching the end of its certified service life.</w:t>
      </w:r>
    </w:p>
    <w:p>
      <w:pPr>
        <w:spacing w:after="100" w:before="200"/>
      </w:pPr>
      <w:r>
        <w:rPr>
          <w:rFonts w:ascii="Calibri" w:cs="Calibri" w:eastAsia="Calibri" w:hAnsi="Calibri"/>
          <w:b/>
          <w:bCs/>
          <w:color w:val="4A7C59"/>
          <w:sz w:val="22"/>
          <w:szCs w:val="22"/>
        </w:rPr>
        <w:t xml:space="preserve">Options Considered</w:t>
      </w:r>
    </w:p>
    <w:p>
      <w:pPr>
        <w:pStyle w:val="ListParagraph"/>
        <w:numPr>
          <w:ilvl w:val="0"/>
          <w:numId w:val="2"/>
        </w:numPr>
        <w:spacing w:after="90"/>
      </w:pPr>
      <w:r>
        <w:rPr>
          <w:rFonts w:ascii="Calibri" w:cs="Calibri" w:eastAsia="Calibri" w:hAnsi="Calibri"/>
          <w:color w:val="2A2A2A"/>
          <w:sz w:val="21"/>
          <w:szCs w:val="21"/>
        </w:rPr>
        <w:t xml:space="preserve">Option A, defer Stage 2 to FY27: preserves cash in the short term, but extends the period the fire safety system operates beyond its recommended service life, and would forfeit the state government capital grant, which must be spent by June 2026</w:t>
      </w:r>
    </w:p>
    <w:p>
      <w:pPr>
        <w:pStyle w:val="ListParagraph"/>
        <w:numPr>
          <w:ilvl w:val="0"/>
          <w:numId w:val="2"/>
        </w:numPr>
        <w:spacing w:after="90"/>
      </w:pPr>
      <w:r>
        <w:rPr>
          <w:rFonts w:ascii="Calibri" w:cs="Calibri" w:eastAsia="Calibri" w:hAnsi="Calibri"/>
          <w:color w:val="2A2A2A"/>
          <w:sz w:val="21"/>
          <w:szCs w:val="21"/>
        </w:rPr>
        <w:t xml:space="preserve">Option B, proceed with Stage 2 now, recommended: addresses the fire safety risk within its service life, secures the grant funding, and keeps the refurbishment program on the timeline set out in the FY26 to FY28 Strategic Plan</w:t>
      </w:r>
    </w:p>
    <w:p>
      <w:pPr>
        <w:pStyle w:val="ListParagraph"/>
        <w:numPr>
          <w:ilvl w:val="0"/>
          <w:numId w:val="2"/>
        </w:numPr>
        <w:spacing w:after="90"/>
      </w:pPr>
      <w:r>
        <w:rPr>
          <w:rFonts w:ascii="Calibri" w:cs="Calibri" w:eastAsia="Calibri" w:hAnsi="Calibri"/>
          <w:color w:val="2A2A2A"/>
          <w:sz w:val="21"/>
          <w:szCs w:val="21"/>
        </w:rPr>
        <w:t xml:space="preserve">Option C, reduced scope, kitchen and dining only, deferring fire safety works: not recommended, as it leaves the higher risk item unresolved</w:t>
      </w:r>
    </w:p>
    <w:p>
      <w:pPr>
        <w:spacing w:after="100" w:before="200"/>
      </w:pPr>
      <w:r>
        <w:rPr>
          <w:rFonts w:ascii="Calibri" w:cs="Calibri" w:eastAsia="Calibri" w:hAnsi="Calibri"/>
          <w:b/>
          <w:bCs/>
          <w:color w:val="4A7C59"/>
          <w:sz w:val="22"/>
          <w:szCs w:val="22"/>
        </w:rPr>
        <w:t xml:space="preserve">Financial Implications</w:t>
      </w:r>
    </w:p>
    <w:p>
      <w:pPr>
        <w:spacing w:after="160"/>
      </w:pPr>
      <w:r>
        <w:rPr>
          <w:rFonts w:ascii="Calibri" w:cs="Calibri" w:eastAsia="Calibri" w:hAnsi="Calibri"/>
          <w:b w:val="false"/>
          <w:bCs w:val="false"/>
          <w:i w:val="false"/>
          <w:iCs w:val="false"/>
          <w:color w:val="2A2A2A"/>
          <w:sz w:val="21"/>
          <w:szCs w:val="21"/>
        </w:rPr>
        <w:t xml:space="preserve">Total cost is $420,000. $150,000 is funded by an already secured state government capital grant. The remaining $270,000 is proposed to be drawn from Corella Care's asset replacement reserve, which currently holds $890,000. The Board will recall from the August meeting that unrestricted operating cash was tight at $4.1 million as at 30 June 2025. This proposal uses reserve funds set aside specifically for capital works, not operating cash, and the Finance, Audit &amp; Risk Committee has confirmed the reserve drawdown does not affect the organisation's short term operating liquidity.</w:t>
      </w:r>
    </w:p>
    <w:p>
      <w:pPr>
        <w:spacing w:after="100" w:before="200"/>
      </w:pPr>
      <w:r>
        <w:rPr>
          <w:rFonts w:ascii="Calibri" w:cs="Calibri" w:eastAsia="Calibri" w:hAnsi="Calibri"/>
          <w:b/>
          <w:bCs/>
          <w:color w:val="4A7C59"/>
          <w:sz w:val="22"/>
          <w:szCs w:val="22"/>
        </w:rPr>
        <w:t xml:space="preserve">Risk</w:t>
      </w:r>
    </w:p>
    <w:p>
      <w:pPr>
        <w:spacing w:after="160"/>
      </w:pPr>
      <w:r>
        <w:rPr>
          <w:rFonts w:ascii="Calibri" w:cs="Calibri" w:eastAsia="Calibri" w:hAnsi="Calibri"/>
          <w:b w:val="false"/>
          <w:bCs w:val="false"/>
          <w:i w:val="false"/>
          <w:iCs w:val="false"/>
          <w:color w:val="2A2A2A"/>
          <w:sz w:val="21"/>
          <w:szCs w:val="21"/>
        </w:rPr>
        <w:t xml:space="preserve">The primary risk of deferral is fire safety compliance risk, rated High on the current Risk Register, and the associated regulatory and reputational consequences of an ageing fire system. The primary risk of proceeding is execution risk during the works, to be managed through the same project governance used successfully in Stage 1.</w:t>
      </w:r>
    </w:p>
    <w:p>
      <w:pPr>
        <w:spacing w:after="100" w:before="200"/>
      </w:pPr>
      <w:r>
        <w:rPr>
          <w:rFonts w:ascii="Calibri" w:cs="Calibri" w:eastAsia="Calibri" w:hAnsi="Calibri"/>
          <w:b/>
          <w:bCs/>
          <w:color w:val="4A7C59"/>
          <w:sz w:val="22"/>
          <w:szCs w:val="22"/>
        </w:rPr>
        <w:t xml:space="preserve">Recommendation, Restated</w:t>
      </w:r>
    </w:p>
    <w:p>
      <w:pPr>
        <w:spacing w:after="160"/>
      </w:pPr>
      <w:r>
        <w:rPr>
          <w:rFonts w:ascii="Calibri" w:cs="Calibri" w:eastAsia="Calibri" w:hAnsi="Calibri"/>
          <w:b w:val="false"/>
          <w:bCs w:val="false"/>
          <w:i w:val="false"/>
          <w:iCs w:val="false"/>
          <w:color w:val="2A2A2A"/>
          <w:sz w:val="21"/>
          <w:szCs w:val="21"/>
        </w:rPr>
        <w:t xml:space="preserve">Management recommends Option B: that the Board approve the $420,000 Stage 2 funding as set out above.</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CONFIDENTIAL, for Corella Care director use only  |  Page </w:t>
    </w:r>
    <w:r>
      <w:rPr>
        <w:rFonts w:ascii="Calibri" w:cs="Calibri" w:eastAsia="Calibri" w:hAnsi="Calibri"/>
        <w:color w:val="999999"/>
        <w:sz w:val="16"/>
        <w:szCs w:val="16"/>
      </w:rPr>
      <w:fldChar w:fldCharType="begin"/>
      <w:instrText xml:space="preserve">PAGE</w:instrText>
      <w:fldChar w:fldCharType="separate"/>
      <w:fldChar w:fldCharType="end"/>
    </w:r>
    <w:r>
      <w:rPr>
        <w:rFonts w:ascii="Calibri" w:cs="Calibri" w:eastAsia="Calibri" w:hAnsi="Calibri"/>
        <w:color w:val="999999"/>
        <w:sz w:val="16"/>
        <w:szCs w:val="16"/>
      </w:rPr>
      <w:t xml:space="preserve"> of </w:t>
    </w:r>
    <w:r>
      <w:rPr>
        <w:rFonts w:ascii="Calibri" w:cs="Calibri" w:eastAsia="Calibri" w:hAnsi="Calibri"/>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99999"/>
        <w:sz w:val="16"/>
        <w:szCs w:val="16"/>
      </w:rPr>
      <w:t xml:space="preserve">Corella Care Ltd, Board and Governance Documents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2026-09-02T05:06:32.497Z</dcterms:created>
  <dcterms:modified xsi:type="dcterms:W3CDTF">2026-09-02T05:06:32.497Z</dcterms:modified>
</cp:coreProperties>
</file>

<file path=docProps/custom.xml><?xml version="1.0" encoding="utf-8"?>
<Properties xmlns="http://schemas.openxmlformats.org/officeDocument/2006/custom-properties" xmlns:vt="http://schemas.openxmlformats.org/officeDocument/2006/docPropsVTypes"/>
</file>